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390DE6" w14:textId="65A069AC" w:rsidR="00980C87" w:rsidRPr="00EF53B4" w:rsidRDefault="00A46F6E" w:rsidP="006C7954">
      <w:pPr>
        <w:pStyle w:val="Default"/>
        <w:rPr>
          <w:rFonts w:asciiTheme="minorHAnsi" w:hAnsiTheme="minorHAnsi" w:cstheme="minorHAnsi"/>
          <w:lang w:val="eu-ES"/>
        </w:rPr>
      </w:pPr>
      <w:r w:rsidRPr="00EF53B4">
        <w:rPr>
          <w:rFonts w:asciiTheme="minorHAnsi" w:hAnsiTheme="minorHAnsi" w:cstheme="minorHAnsi"/>
          <w:lang w:val="eu-ES"/>
        </w:rPr>
        <w:drawing>
          <wp:anchor distT="0" distB="0" distL="114300" distR="114300" simplePos="0" relativeHeight="251659264" behindDoc="1" locked="0" layoutInCell="1" allowOverlap="1" wp14:anchorId="0BF41392" wp14:editId="4E5C4F5B">
            <wp:simplePos x="0" y="0"/>
            <wp:positionH relativeFrom="margin">
              <wp:posOffset>285750</wp:posOffset>
            </wp:positionH>
            <wp:positionV relativeFrom="paragraph">
              <wp:posOffset>9525</wp:posOffset>
            </wp:positionV>
            <wp:extent cx="762000" cy="762000"/>
            <wp:effectExtent l="0" t="0" r="0" b="0"/>
            <wp:wrapTight wrapText="bothSides">
              <wp:wrapPolygon edited="0">
                <wp:start x="0" y="0"/>
                <wp:lineTo x="0" y="21060"/>
                <wp:lineTo x="21060" y="21060"/>
                <wp:lineTo x="21060"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pic:spPr>
                </pic:pic>
              </a:graphicData>
            </a:graphic>
          </wp:anchor>
        </w:drawing>
      </w:r>
    </w:p>
    <w:p w14:paraId="3F8E3674" w14:textId="5602D49C" w:rsidR="003C13B1" w:rsidRPr="00EF53B4" w:rsidRDefault="006C7954">
      <w:pPr>
        <w:rPr>
          <w:rFonts w:cstheme="minorHAnsi"/>
          <w:sz w:val="24"/>
          <w:szCs w:val="24"/>
          <w:lang w:val="eu-ES"/>
        </w:rPr>
      </w:pPr>
      <w:r w:rsidRPr="00EF53B4">
        <w:rPr>
          <w:rFonts w:cstheme="minorHAnsi"/>
          <w:lang w:val="eu-ES"/>
        </w:rPr>
        <w:drawing>
          <wp:anchor distT="0" distB="0" distL="114300" distR="114300" simplePos="0" relativeHeight="251658240" behindDoc="1" locked="0" layoutInCell="1" allowOverlap="1" wp14:anchorId="23C7E9A5" wp14:editId="69E79FD3">
            <wp:simplePos x="0" y="0"/>
            <wp:positionH relativeFrom="column">
              <wp:posOffset>4124960</wp:posOffset>
            </wp:positionH>
            <wp:positionV relativeFrom="paragraph">
              <wp:posOffset>10795</wp:posOffset>
            </wp:positionV>
            <wp:extent cx="1082675" cy="314325"/>
            <wp:effectExtent l="0" t="0" r="0" b="9525"/>
            <wp:wrapTight wrapText="bothSides">
              <wp:wrapPolygon edited="0">
                <wp:start x="11402" y="0"/>
                <wp:lineTo x="380" y="2618"/>
                <wp:lineTo x="380" y="19636"/>
                <wp:lineTo x="10642" y="20945"/>
                <wp:lineTo x="12162" y="20945"/>
                <wp:lineTo x="20523" y="19636"/>
                <wp:lineTo x="20523" y="5236"/>
                <wp:lineTo x="12922" y="0"/>
                <wp:lineTo x="11402" y="0"/>
              </wp:wrapPolygon>
            </wp:wrapTight>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82675" cy="314325"/>
                    </a:xfrm>
                    <a:prstGeom prst="rect">
                      <a:avLst/>
                    </a:prstGeom>
                    <a:noFill/>
                  </pic:spPr>
                </pic:pic>
              </a:graphicData>
            </a:graphic>
          </wp:anchor>
        </w:drawing>
      </w:r>
    </w:p>
    <w:p w14:paraId="004DD76A" w14:textId="77777777" w:rsidR="006C7954" w:rsidRPr="006C7954" w:rsidRDefault="006C7954" w:rsidP="006C7954">
      <w:pPr>
        <w:autoSpaceDE w:val="0"/>
        <w:autoSpaceDN w:val="0"/>
        <w:adjustRightInd w:val="0"/>
        <w:spacing w:after="0" w:line="240" w:lineRule="auto"/>
        <w:rPr>
          <w:rFonts w:cstheme="minorHAnsi"/>
          <w:color w:val="000000"/>
          <w:sz w:val="24"/>
          <w:szCs w:val="24"/>
          <w:lang w:val="eu-ES"/>
        </w:rPr>
      </w:pPr>
    </w:p>
    <w:p w14:paraId="6F36223E" w14:textId="77777777" w:rsidR="006C7954" w:rsidRPr="00EF53B4" w:rsidRDefault="006C7954" w:rsidP="006C7954">
      <w:pPr>
        <w:autoSpaceDE w:val="0"/>
        <w:autoSpaceDN w:val="0"/>
        <w:adjustRightInd w:val="0"/>
        <w:spacing w:after="0" w:line="240" w:lineRule="auto"/>
        <w:rPr>
          <w:rFonts w:cstheme="minorHAnsi"/>
          <w:b/>
          <w:bCs/>
          <w:color w:val="000000"/>
          <w:sz w:val="36"/>
          <w:szCs w:val="36"/>
          <w:lang w:val="eu-ES"/>
        </w:rPr>
      </w:pPr>
      <w:r w:rsidRPr="006C7954">
        <w:rPr>
          <w:rFonts w:cstheme="minorHAnsi"/>
          <w:b/>
          <w:bCs/>
          <w:color w:val="000000"/>
          <w:sz w:val="36"/>
          <w:szCs w:val="36"/>
          <w:lang w:val="eu-ES"/>
        </w:rPr>
        <w:t xml:space="preserve"> </w:t>
      </w:r>
    </w:p>
    <w:p w14:paraId="454DAB4A" w14:textId="74F97B80" w:rsidR="006C7954" w:rsidRPr="00EF53B4" w:rsidRDefault="006C7954" w:rsidP="006C7954">
      <w:pPr>
        <w:autoSpaceDE w:val="0"/>
        <w:autoSpaceDN w:val="0"/>
        <w:adjustRightInd w:val="0"/>
        <w:spacing w:after="0" w:line="240" w:lineRule="auto"/>
        <w:ind w:firstLine="360"/>
        <w:rPr>
          <w:rFonts w:cstheme="minorHAnsi"/>
          <w:b/>
          <w:bCs/>
          <w:color w:val="000000"/>
          <w:sz w:val="36"/>
          <w:szCs w:val="36"/>
          <w:lang w:val="eu-ES"/>
        </w:rPr>
      </w:pPr>
      <w:r w:rsidRPr="006C7954">
        <w:rPr>
          <w:rFonts w:cstheme="minorHAnsi"/>
          <w:b/>
          <w:bCs/>
          <w:color w:val="000000"/>
          <w:sz w:val="36"/>
          <w:szCs w:val="36"/>
          <w:lang w:val="eu-ES"/>
        </w:rPr>
        <w:t>F</w:t>
      </w:r>
      <w:r w:rsidR="00EF53B4" w:rsidRPr="00EF53B4">
        <w:rPr>
          <w:rFonts w:cstheme="minorHAnsi"/>
          <w:b/>
          <w:bCs/>
          <w:color w:val="000000"/>
          <w:sz w:val="36"/>
          <w:szCs w:val="36"/>
          <w:lang w:val="eu-ES"/>
        </w:rPr>
        <w:t>untzioak</w:t>
      </w:r>
      <w:r w:rsidRPr="00EF53B4">
        <w:rPr>
          <w:rFonts w:cstheme="minorHAnsi"/>
          <w:b/>
          <w:bCs/>
          <w:color w:val="000000"/>
          <w:sz w:val="36"/>
          <w:szCs w:val="36"/>
          <w:lang w:val="eu-ES"/>
        </w:rPr>
        <w:t xml:space="preserve">: </w:t>
      </w:r>
      <w:r w:rsidRPr="006C7954">
        <w:rPr>
          <w:rFonts w:cstheme="minorHAnsi"/>
          <w:b/>
          <w:bCs/>
          <w:color w:val="000000"/>
          <w:sz w:val="36"/>
          <w:szCs w:val="36"/>
          <w:lang w:val="eu-ES"/>
        </w:rPr>
        <w:t xml:space="preserve"> </w:t>
      </w:r>
    </w:p>
    <w:p w14:paraId="4F88AF58" w14:textId="77777777" w:rsidR="006C7954" w:rsidRPr="006C7954" w:rsidRDefault="006C7954" w:rsidP="006C7954">
      <w:pPr>
        <w:autoSpaceDE w:val="0"/>
        <w:autoSpaceDN w:val="0"/>
        <w:adjustRightInd w:val="0"/>
        <w:spacing w:after="0" w:line="240" w:lineRule="auto"/>
        <w:rPr>
          <w:rFonts w:cstheme="minorHAnsi"/>
          <w:b/>
          <w:bCs/>
          <w:color w:val="000000"/>
          <w:sz w:val="36"/>
          <w:szCs w:val="36"/>
          <w:lang w:val="eu-ES"/>
        </w:rPr>
      </w:pPr>
    </w:p>
    <w:p w14:paraId="0661CD31" w14:textId="799EAFF3" w:rsidR="00EF53B4" w:rsidRPr="00EF53B4" w:rsidRDefault="00EF53B4" w:rsidP="00EF53B4">
      <w:pPr>
        <w:pStyle w:val="Prrafodelista"/>
        <w:numPr>
          <w:ilvl w:val="0"/>
          <w:numId w:val="19"/>
        </w:numPr>
        <w:autoSpaceDE w:val="0"/>
        <w:autoSpaceDN w:val="0"/>
        <w:adjustRightInd w:val="0"/>
        <w:spacing w:after="0" w:line="240" w:lineRule="auto"/>
        <w:rPr>
          <w:rFonts w:ascii="Verdana" w:hAnsi="Verdana" w:cs="Verdana"/>
          <w:color w:val="000000"/>
          <w:sz w:val="23"/>
          <w:szCs w:val="23"/>
          <w:lang w:val="eu-ES"/>
        </w:rPr>
      </w:pPr>
      <w:r w:rsidRPr="00EF53B4">
        <w:rPr>
          <w:rFonts w:ascii="Verdana" w:hAnsi="Verdana" w:cs="Verdana"/>
          <w:color w:val="000000"/>
          <w:sz w:val="23"/>
          <w:szCs w:val="23"/>
          <w:lang w:val="eu-ES"/>
        </w:rPr>
        <w:t xml:space="preserve">Suaren aurka borrokatzea ezbeharretan eta larrialdietan; horrelakoetan, lehentasuna eman behar dio pertsonen bizitzari, eta ondare kolektiboa zein banakoena babestu behar ditu. </w:t>
      </w:r>
    </w:p>
    <w:p w14:paraId="71097A75" w14:textId="0617FAC4" w:rsidR="00EF53B4" w:rsidRPr="00EF53B4" w:rsidRDefault="00EF53B4" w:rsidP="00EF53B4">
      <w:pPr>
        <w:pStyle w:val="Prrafodelista"/>
        <w:numPr>
          <w:ilvl w:val="0"/>
          <w:numId w:val="19"/>
        </w:numPr>
        <w:autoSpaceDE w:val="0"/>
        <w:autoSpaceDN w:val="0"/>
        <w:adjustRightInd w:val="0"/>
        <w:spacing w:after="0" w:line="240" w:lineRule="auto"/>
        <w:rPr>
          <w:rFonts w:ascii="Verdana" w:hAnsi="Verdana" w:cs="Verdana"/>
          <w:color w:val="000000"/>
          <w:sz w:val="23"/>
          <w:szCs w:val="23"/>
          <w:lang w:val="eu-ES"/>
        </w:rPr>
      </w:pPr>
      <w:r w:rsidRPr="00EF53B4">
        <w:rPr>
          <w:rFonts w:ascii="Verdana" w:hAnsi="Verdana" w:cs="Verdana"/>
          <w:color w:val="000000"/>
          <w:sz w:val="23"/>
          <w:szCs w:val="23"/>
          <w:lang w:val="eu-ES"/>
        </w:rPr>
        <w:t xml:space="preserve">Salbamendua, Arabako Lurralde Historikoaren eskumenekoa den kasuetan. </w:t>
      </w:r>
    </w:p>
    <w:p w14:paraId="13ABDA69" w14:textId="37FFB5B9" w:rsidR="00EF53B4" w:rsidRPr="00EF53B4" w:rsidRDefault="00EF53B4" w:rsidP="00EF53B4">
      <w:pPr>
        <w:pStyle w:val="Prrafodelista"/>
        <w:numPr>
          <w:ilvl w:val="0"/>
          <w:numId w:val="19"/>
        </w:numPr>
        <w:autoSpaceDE w:val="0"/>
        <w:autoSpaceDN w:val="0"/>
        <w:adjustRightInd w:val="0"/>
        <w:spacing w:after="0" w:line="240" w:lineRule="auto"/>
        <w:rPr>
          <w:rFonts w:ascii="Verdana" w:hAnsi="Verdana" w:cs="Verdana"/>
          <w:color w:val="000000"/>
          <w:sz w:val="23"/>
          <w:szCs w:val="23"/>
          <w:lang w:val="eu-ES"/>
        </w:rPr>
      </w:pPr>
      <w:r w:rsidRPr="00EF53B4">
        <w:rPr>
          <w:rFonts w:ascii="Verdana" w:hAnsi="Verdana" w:cs="Verdana"/>
          <w:color w:val="000000"/>
          <w:sz w:val="23"/>
          <w:szCs w:val="23"/>
          <w:lang w:val="eu-ES"/>
        </w:rPr>
        <w:t xml:space="preserve">Zerbitzuaren jardun programak eta protokoloak prestatzea. </w:t>
      </w:r>
    </w:p>
    <w:p w14:paraId="252F1E4C" w14:textId="38427643" w:rsidR="00EF53B4" w:rsidRPr="00EF53B4" w:rsidRDefault="00EF53B4" w:rsidP="00EF53B4">
      <w:pPr>
        <w:pStyle w:val="Prrafodelista"/>
        <w:numPr>
          <w:ilvl w:val="0"/>
          <w:numId w:val="19"/>
        </w:numPr>
        <w:autoSpaceDE w:val="0"/>
        <w:autoSpaceDN w:val="0"/>
        <w:adjustRightInd w:val="0"/>
        <w:spacing w:after="0" w:line="240" w:lineRule="auto"/>
        <w:rPr>
          <w:rFonts w:ascii="Verdana" w:hAnsi="Verdana" w:cs="Verdana"/>
          <w:color w:val="000000"/>
          <w:sz w:val="23"/>
          <w:szCs w:val="23"/>
          <w:lang w:val="eu-ES"/>
        </w:rPr>
      </w:pPr>
      <w:r w:rsidRPr="00EF53B4">
        <w:rPr>
          <w:rFonts w:ascii="Verdana" w:hAnsi="Verdana" w:cs="Verdana"/>
          <w:color w:val="000000"/>
          <w:sz w:val="23"/>
          <w:szCs w:val="23"/>
          <w:lang w:val="eu-ES"/>
        </w:rPr>
        <w:t xml:space="preserve">Suteen prebentziorako eta babeserako eta haien kontra borrokatzeko teknikak, instalazioak, prozedurak eta sistemak aztertzea eta ikertzea. </w:t>
      </w:r>
    </w:p>
    <w:p w14:paraId="1BAA1238" w14:textId="76F81166" w:rsidR="00EF53B4" w:rsidRPr="00EF53B4" w:rsidRDefault="00EF53B4" w:rsidP="00EF53B4">
      <w:pPr>
        <w:pStyle w:val="Prrafodelista"/>
        <w:numPr>
          <w:ilvl w:val="0"/>
          <w:numId w:val="19"/>
        </w:numPr>
        <w:autoSpaceDE w:val="0"/>
        <w:autoSpaceDN w:val="0"/>
        <w:adjustRightInd w:val="0"/>
        <w:spacing w:after="0" w:line="240" w:lineRule="auto"/>
        <w:rPr>
          <w:rFonts w:ascii="Verdana" w:hAnsi="Verdana" w:cs="Verdana"/>
          <w:color w:val="000000"/>
          <w:sz w:val="23"/>
          <w:szCs w:val="23"/>
          <w:lang w:val="eu-ES"/>
        </w:rPr>
      </w:pPr>
      <w:r w:rsidRPr="00EF53B4">
        <w:rPr>
          <w:rFonts w:ascii="Verdana" w:hAnsi="Verdana" w:cs="Verdana"/>
          <w:color w:val="000000"/>
          <w:sz w:val="23"/>
          <w:szCs w:val="23"/>
          <w:lang w:val="eu-ES"/>
        </w:rPr>
        <w:t>Kontzientziazio eta zabalkunde kanpainak</w:t>
      </w:r>
      <w:r>
        <w:rPr>
          <w:rFonts w:ascii="Verdana" w:hAnsi="Verdana" w:cs="Verdana"/>
          <w:color w:val="000000"/>
          <w:sz w:val="23"/>
          <w:szCs w:val="23"/>
          <w:lang w:val="eu-ES"/>
        </w:rPr>
        <w:t xml:space="preserve"> </w:t>
      </w:r>
      <w:r w:rsidRPr="00EF53B4">
        <w:rPr>
          <w:rFonts w:ascii="Verdana" w:hAnsi="Verdana" w:cs="Verdana"/>
          <w:color w:val="000000"/>
          <w:sz w:val="23"/>
          <w:szCs w:val="23"/>
          <w:lang w:val="eu-ES"/>
        </w:rPr>
        <w:t xml:space="preserve">diseinatzea eta antolatzea, eta haietan parte hartzea, herritarrek ikas dezaten zer egin behar duten ezbeharretan eta larrialdietan, zein den horren gaineko araudia eta zein baldintza bete behar dituzten, beren jardueraren edo bestelako inguruabar berezi batzuen arabera. Halaber, babes zibileko kanpaina orokorragoetan laguntzea. </w:t>
      </w:r>
    </w:p>
    <w:p w14:paraId="3B686BF4" w14:textId="62B0DD4B" w:rsidR="006C7954" w:rsidRPr="00EF53B4" w:rsidRDefault="00EF53B4" w:rsidP="00EF53B4">
      <w:pPr>
        <w:pStyle w:val="Prrafodelista"/>
        <w:numPr>
          <w:ilvl w:val="0"/>
          <w:numId w:val="19"/>
        </w:numPr>
        <w:rPr>
          <w:rFonts w:cstheme="minorHAnsi"/>
          <w:sz w:val="24"/>
          <w:szCs w:val="24"/>
          <w:lang w:val="eu-ES"/>
        </w:rPr>
      </w:pPr>
      <w:r w:rsidRPr="00EF53B4">
        <w:rPr>
          <w:rFonts w:ascii="Verdana" w:hAnsi="Verdana" w:cs="Verdana"/>
          <w:color w:val="000000"/>
          <w:sz w:val="23"/>
          <w:szCs w:val="23"/>
          <w:lang w:val="eu-ES"/>
        </w:rPr>
        <w:t>Ordenamendu juridikoan aurreikusten diren kasuetan, mandatua edo lankidetza hitzarmenak egin ondoren, ikuskatze arloan parte hartzea, bai eta suteen aurkako autobabesaren araudia betetzeari buruzko lizentziak eman baino lehenagoko txostenak egiten ere</w:t>
      </w:r>
      <w:r>
        <w:rPr>
          <w:rFonts w:ascii="Verdana" w:hAnsi="Verdana" w:cs="Verdana"/>
          <w:color w:val="000000"/>
          <w:sz w:val="23"/>
          <w:szCs w:val="23"/>
          <w:lang w:val="eu-ES"/>
        </w:rPr>
        <w:t>.</w:t>
      </w:r>
    </w:p>
    <w:p w14:paraId="23BD9C21" w14:textId="26F4DC87" w:rsidR="00EF53B4" w:rsidRPr="00EF53B4" w:rsidRDefault="00EF53B4" w:rsidP="00EF53B4">
      <w:pPr>
        <w:pStyle w:val="Prrafodelista"/>
        <w:numPr>
          <w:ilvl w:val="0"/>
          <w:numId w:val="19"/>
        </w:numPr>
        <w:autoSpaceDE w:val="0"/>
        <w:autoSpaceDN w:val="0"/>
        <w:adjustRightInd w:val="0"/>
        <w:spacing w:after="0" w:line="240" w:lineRule="auto"/>
        <w:rPr>
          <w:rFonts w:ascii="Verdana" w:hAnsi="Verdana" w:cs="Verdana"/>
          <w:color w:val="000000"/>
          <w:sz w:val="23"/>
          <w:szCs w:val="23"/>
          <w:lang w:val="eu-ES"/>
        </w:rPr>
      </w:pPr>
      <w:r w:rsidRPr="00EF53B4">
        <w:rPr>
          <w:rFonts w:ascii="Verdana" w:hAnsi="Verdana" w:cs="Verdana"/>
          <w:color w:val="000000"/>
          <w:sz w:val="23"/>
          <w:szCs w:val="23"/>
          <w:lang w:val="eu-ES"/>
        </w:rPr>
        <w:t xml:space="preserve">Gaiaren arabera eskumena duen sailarekin lankidetzan aritzea, lanbide praktikatik eta esperientziatik lortutako ekarpenen bitartez babes zibileko planak garatu, hobetu eta berrikustearren, bai eta larrialdi motaren arabera zer baliabide behar diren zehaztu, ebaluatu, baliatu eta mobilizatzeko taktika operatiboak garatu, hobetu eta berrikustearren ere. </w:t>
      </w:r>
    </w:p>
    <w:p w14:paraId="3C1B73A2" w14:textId="1ABCE982" w:rsidR="00EF53B4" w:rsidRPr="00EF53B4" w:rsidRDefault="00EF53B4" w:rsidP="00EF53B4">
      <w:pPr>
        <w:pStyle w:val="Prrafodelista"/>
        <w:numPr>
          <w:ilvl w:val="0"/>
          <w:numId w:val="19"/>
        </w:numPr>
        <w:autoSpaceDE w:val="0"/>
        <w:autoSpaceDN w:val="0"/>
        <w:adjustRightInd w:val="0"/>
        <w:spacing w:after="0" w:line="240" w:lineRule="auto"/>
        <w:rPr>
          <w:rFonts w:ascii="Verdana" w:hAnsi="Verdana" w:cs="Verdana"/>
          <w:color w:val="000000"/>
          <w:sz w:val="23"/>
          <w:szCs w:val="23"/>
          <w:lang w:val="eu-ES"/>
        </w:rPr>
      </w:pPr>
      <w:r w:rsidRPr="00EF53B4">
        <w:rPr>
          <w:rFonts w:ascii="Verdana" w:hAnsi="Verdana" w:cs="Verdana"/>
          <w:color w:val="000000"/>
          <w:sz w:val="23"/>
          <w:szCs w:val="23"/>
          <w:lang w:val="eu-ES"/>
        </w:rPr>
        <w:t xml:space="preserve">Edozein larrialdi egoeratan esku hartzea, hala eskatzen zaionean zerbitzuko kideen trebakuntza edo esperientzia dela eta edo eskuragarri dauden baliabide materialak egokiak direlako. </w:t>
      </w:r>
    </w:p>
    <w:p w14:paraId="042FD8EF" w14:textId="0AAE0A70" w:rsidR="00EF53B4" w:rsidRPr="00EF53B4" w:rsidRDefault="00EF53B4" w:rsidP="00EF53B4">
      <w:pPr>
        <w:pStyle w:val="Prrafodelista"/>
        <w:numPr>
          <w:ilvl w:val="0"/>
          <w:numId w:val="19"/>
        </w:numPr>
        <w:autoSpaceDE w:val="0"/>
        <w:autoSpaceDN w:val="0"/>
        <w:adjustRightInd w:val="0"/>
        <w:spacing w:after="0" w:line="240" w:lineRule="auto"/>
        <w:rPr>
          <w:rFonts w:ascii="Verdana" w:hAnsi="Verdana" w:cs="Verdana"/>
          <w:color w:val="000000"/>
          <w:sz w:val="23"/>
          <w:szCs w:val="23"/>
          <w:lang w:val="eu-ES"/>
        </w:rPr>
      </w:pPr>
      <w:r w:rsidRPr="00EF53B4">
        <w:rPr>
          <w:rFonts w:ascii="Verdana" w:hAnsi="Verdana" w:cs="Verdana"/>
          <w:color w:val="000000"/>
          <w:sz w:val="23"/>
          <w:szCs w:val="23"/>
          <w:lang w:val="eu-ES"/>
        </w:rPr>
        <w:t xml:space="preserve">Ezbeharren zergatiak ikertzea, eskumena duen agintaritzak eskaturik, eta haien ondorioak eta egindako kalteak balioztatzea. </w:t>
      </w:r>
    </w:p>
    <w:p w14:paraId="3AA1FC73" w14:textId="29367A15" w:rsidR="00EF53B4" w:rsidRPr="00EF53B4" w:rsidRDefault="00EF53B4" w:rsidP="00EF53B4">
      <w:pPr>
        <w:pStyle w:val="Prrafodelista"/>
        <w:numPr>
          <w:ilvl w:val="0"/>
          <w:numId w:val="19"/>
        </w:numPr>
        <w:autoSpaceDE w:val="0"/>
        <w:autoSpaceDN w:val="0"/>
        <w:adjustRightInd w:val="0"/>
        <w:spacing w:after="0" w:line="240" w:lineRule="auto"/>
        <w:rPr>
          <w:rFonts w:ascii="Verdana" w:hAnsi="Verdana" w:cs="Verdana"/>
          <w:color w:val="000000"/>
          <w:sz w:val="23"/>
          <w:szCs w:val="23"/>
          <w:lang w:val="eu-ES"/>
        </w:rPr>
      </w:pPr>
      <w:r w:rsidRPr="00EF53B4">
        <w:rPr>
          <w:rFonts w:ascii="Verdana" w:hAnsi="Verdana" w:cs="Verdana"/>
          <w:color w:val="000000"/>
          <w:sz w:val="23"/>
          <w:szCs w:val="23"/>
          <w:lang w:val="eu-ES"/>
        </w:rPr>
        <w:t xml:space="preserve">Prebentzioaren, su itzaltzearen eta salbamenduaren eta babes zibilaren arloan aplikatutako teknologia berriak garatu eta atxikitzearekin zerikusia dutenak. </w:t>
      </w:r>
    </w:p>
    <w:p w14:paraId="735EA762" w14:textId="651F8E20" w:rsidR="00EF53B4" w:rsidRPr="00EF53B4" w:rsidRDefault="00EF53B4" w:rsidP="00EF53B4">
      <w:pPr>
        <w:pStyle w:val="Prrafodelista"/>
        <w:numPr>
          <w:ilvl w:val="0"/>
          <w:numId w:val="19"/>
        </w:numPr>
        <w:autoSpaceDE w:val="0"/>
        <w:autoSpaceDN w:val="0"/>
        <w:adjustRightInd w:val="0"/>
        <w:spacing w:after="0" w:line="240" w:lineRule="auto"/>
        <w:rPr>
          <w:rFonts w:ascii="Verdana" w:hAnsi="Verdana" w:cs="Verdana"/>
          <w:color w:val="000000"/>
          <w:sz w:val="23"/>
          <w:szCs w:val="23"/>
          <w:lang w:val="eu-ES"/>
        </w:rPr>
      </w:pPr>
      <w:r w:rsidRPr="00EF53B4">
        <w:rPr>
          <w:rFonts w:ascii="Verdana" w:hAnsi="Verdana" w:cs="Verdana"/>
          <w:color w:val="000000"/>
          <w:sz w:val="23"/>
          <w:szCs w:val="23"/>
          <w:lang w:val="eu-ES"/>
        </w:rPr>
        <w:t xml:space="preserve">Prebentzio, su itzaltze eta salbamendu eta babes zibilaren arloan foru sektore publikoarenak izanik berariaz beste erakunde edo foru sail bati esleitu ez zaizkionak. </w:t>
      </w:r>
    </w:p>
    <w:p w14:paraId="362664A8" w14:textId="4642BEB3" w:rsidR="00EF53B4" w:rsidRPr="00EF53B4" w:rsidRDefault="00EF53B4" w:rsidP="00EF53B4">
      <w:pPr>
        <w:pStyle w:val="Prrafodelista"/>
        <w:numPr>
          <w:ilvl w:val="0"/>
          <w:numId w:val="19"/>
        </w:numPr>
        <w:rPr>
          <w:rFonts w:cstheme="minorHAnsi"/>
          <w:sz w:val="24"/>
          <w:szCs w:val="24"/>
          <w:lang w:val="eu-ES"/>
        </w:rPr>
      </w:pPr>
      <w:r w:rsidRPr="00EF53B4">
        <w:rPr>
          <w:rFonts w:ascii="Verdana" w:hAnsi="Verdana" w:cs="Verdana"/>
          <w:color w:val="000000"/>
          <w:sz w:val="23"/>
          <w:szCs w:val="23"/>
          <w:lang w:val="eu-ES"/>
        </w:rPr>
        <w:t>Zerbitzuaren lege antolamenduan azpimarratu beharreko faktore bat da foru arauak lehentasuna ematen diola prebentzioari eta, ildo horretatik, erakunde autonomoaren funtsezko egitekoetako bat da</w:t>
      </w:r>
      <w:r>
        <w:rPr>
          <w:rFonts w:ascii="Verdana" w:hAnsi="Verdana" w:cs="Verdana"/>
          <w:color w:val="000000"/>
          <w:sz w:val="23"/>
          <w:szCs w:val="23"/>
          <w:lang w:val="eu-ES"/>
        </w:rPr>
        <w:t>.</w:t>
      </w:r>
    </w:p>
    <w:sectPr w:rsidR="00EF53B4" w:rsidRPr="00EF53B4" w:rsidSect="00700ABC">
      <w:pgSz w:w="11906" w:h="17338"/>
      <w:pgMar w:top="1145" w:right="2148" w:bottom="1377" w:left="142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E388D6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8F34B5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5DA6BC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D4F28F4"/>
    <w:multiLevelType w:val="hybridMultilevel"/>
    <w:tmpl w:val="83EA19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8422E9A"/>
    <w:multiLevelType w:val="hybridMultilevel"/>
    <w:tmpl w:val="77E624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A5409AB"/>
    <w:multiLevelType w:val="hybridMultilevel"/>
    <w:tmpl w:val="57B42DB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AF24EA3"/>
    <w:multiLevelType w:val="hybridMultilevel"/>
    <w:tmpl w:val="F314DFFA"/>
    <w:lvl w:ilvl="0" w:tplc="77822A36">
      <w:numFmt w:val="bullet"/>
      <w:lvlText w:val="•"/>
      <w:lvlJc w:val="left"/>
      <w:pPr>
        <w:ind w:left="720" w:hanging="360"/>
      </w:pPr>
      <w:rPr>
        <w:rFonts w:ascii="Calibri Light" w:eastAsiaTheme="minorHAnsi" w:hAnsi="Calibri Light" w:cs="Calibri Ligh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CFF749B"/>
    <w:multiLevelType w:val="hybridMultilevel"/>
    <w:tmpl w:val="B9C8A1B8"/>
    <w:lvl w:ilvl="0" w:tplc="77822A36">
      <w:numFmt w:val="bullet"/>
      <w:lvlText w:val="•"/>
      <w:lvlJc w:val="left"/>
      <w:pPr>
        <w:ind w:left="720" w:hanging="360"/>
      </w:pPr>
      <w:rPr>
        <w:rFonts w:ascii="Calibri Light" w:eastAsiaTheme="minorHAnsi" w:hAnsi="Calibri Light" w:cs="Calibri Ligh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5A6676F"/>
    <w:multiLevelType w:val="hybridMultilevel"/>
    <w:tmpl w:val="BED4431C"/>
    <w:lvl w:ilvl="0" w:tplc="FFFFFFFF">
      <w:start w:val="1"/>
      <w:numFmt w:val="bullet"/>
      <w:lvlText w:val="•"/>
      <w:lvlJc w:val="left"/>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C5A1B01"/>
    <w:multiLevelType w:val="hybridMultilevel"/>
    <w:tmpl w:val="3378D05C"/>
    <w:lvl w:ilvl="0" w:tplc="77822A36">
      <w:numFmt w:val="bullet"/>
      <w:lvlText w:val="•"/>
      <w:lvlJc w:val="left"/>
      <w:pPr>
        <w:ind w:left="720" w:hanging="360"/>
      </w:pPr>
      <w:rPr>
        <w:rFonts w:ascii="Calibri Light" w:eastAsiaTheme="minorHAnsi" w:hAnsi="Calibri Light" w:cs="Calibri Ligh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42336519"/>
    <w:multiLevelType w:val="hybridMultilevel"/>
    <w:tmpl w:val="5860E26E"/>
    <w:lvl w:ilvl="0" w:tplc="77822A36">
      <w:numFmt w:val="bullet"/>
      <w:lvlText w:val="•"/>
      <w:lvlJc w:val="left"/>
      <w:pPr>
        <w:ind w:left="720" w:hanging="360"/>
      </w:pPr>
      <w:rPr>
        <w:rFonts w:ascii="Calibri Light" w:eastAsiaTheme="minorHAnsi" w:hAnsi="Calibri Light" w:cs="Calibri Ligh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4311170F"/>
    <w:multiLevelType w:val="hybridMultilevel"/>
    <w:tmpl w:val="92089FB2"/>
    <w:lvl w:ilvl="0" w:tplc="77822A36">
      <w:numFmt w:val="bullet"/>
      <w:lvlText w:val="•"/>
      <w:lvlJc w:val="left"/>
      <w:pPr>
        <w:ind w:left="720" w:hanging="360"/>
      </w:pPr>
      <w:rPr>
        <w:rFonts w:ascii="Calibri Light" w:eastAsiaTheme="minorHAnsi" w:hAnsi="Calibri Light" w:cs="Calibri Ligh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4AA70EF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5F760E20"/>
    <w:multiLevelType w:val="hybridMultilevel"/>
    <w:tmpl w:val="2990E810"/>
    <w:lvl w:ilvl="0" w:tplc="77822A36">
      <w:numFmt w:val="bullet"/>
      <w:lvlText w:val="•"/>
      <w:lvlJc w:val="left"/>
      <w:pPr>
        <w:ind w:left="720" w:hanging="360"/>
      </w:pPr>
      <w:rPr>
        <w:rFonts w:ascii="Calibri Light" w:eastAsiaTheme="minorHAnsi" w:hAnsi="Calibri Light" w:cs="Calibri Ligh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5F96424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6FB06FEA"/>
    <w:multiLevelType w:val="hybridMultilevel"/>
    <w:tmpl w:val="5120B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6FB1249A"/>
    <w:multiLevelType w:val="hybridMultilevel"/>
    <w:tmpl w:val="B792FBE0"/>
    <w:lvl w:ilvl="0" w:tplc="77822A36">
      <w:numFmt w:val="bullet"/>
      <w:lvlText w:val="•"/>
      <w:lvlJc w:val="left"/>
      <w:pPr>
        <w:ind w:left="720" w:hanging="360"/>
      </w:pPr>
      <w:rPr>
        <w:rFonts w:ascii="Calibri Light" w:eastAsiaTheme="minorHAnsi" w:hAnsi="Calibri Light" w:cs="Calibri Ligh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77B24CB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78190B6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692144500">
    <w:abstractNumId w:val="0"/>
  </w:num>
  <w:num w:numId="2" w16cid:durableId="211312708">
    <w:abstractNumId w:val="17"/>
  </w:num>
  <w:num w:numId="3" w16cid:durableId="1852984776">
    <w:abstractNumId w:val="1"/>
  </w:num>
  <w:num w:numId="4" w16cid:durableId="814220115">
    <w:abstractNumId w:val="18"/>
  </w:num>
  <w:num w:numId="5" w16cid:durableId="979580111">
    <w:abstractNumId w:val="12"/>
  </w:num>
  <w:num w:numId="6" w16cid:durableId="786005287">
    <w:abstractNumId w:val="2"/>
  </w:num>
  <w:num w:numId="7" w16cid:durableId="440343380">
    <w:abstractNumId w:val="14"/>
  </w:num>
  <w:num w:numId="8" w16cid:durableId="172114445">
    <w:abstractNumId w:val="3"/>
  </w:num>
  <w:num w:numId="9" w16cid:durableId="417561079">
    <w:abstractNumId w:val="7"/>
  </w:num>
  <w:num w:numId="10" w16cid:durableId="1050804511">
    <w:abstractNumId w:val="9"/>
  </w:num>
  <w:num w:numId="11" w16cid:durableId="753012687">
    <w:abstractNumId w:val="8"/>
  </w:num>
  <w:num w:numId="12" w16cid:durableId="605119692">
    <w:abstractNumId w:val="6"/>
  </w:num>
  <w:num w:numId="13" w16cid:durableId="616764712">
    <w:abstractNumId w:val="11"/>
  </w:num>
  <w:num w:numId="14" w16cid:durableId="764614322">
    <w:abstractNumId w:val="16"/>
  </w:num>
  <w:num w:numId="15" w16cid:durableId="642465997">
    <w:abstractNumId w:val="10"/>
  </w:num>
  <w:num w:numId="16" w16cid:durableId="548103493">
    <w:abstractNumId w:val="13"/>
  </w:num>
  <w:num w:numId="17" w16cid:durableId="1065762263">
    <w:abstractNumId w:val="5"/>
  </w:num>
  <w:num w:numId="18" w16cid:durableId="2077587773">
    <w:abstractNumId w:val="15"/>
  </w:num>
  <w:num w:numId="19" w16cid:durableId="11467010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C87"/>
    <w:rsid w:val="003C13B1"/>
    <w:rsid w:val="006C7954"/>
    <w:rsid w:val="00980C87"/>
    <w:rsid w:val="00A46F6E"/>
    <w:rsid w:val="00E23926"/>
    <w:rsid w:val="00EF53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EE0F618"/>
  <w15:chartTrackingRefBased/>
  <w15:docId w15:val="{4C9D2116-73DB-4F50-846C-3713E2AD5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980C87"/>
    <w:pPr>
      <w:autoSpaceDE w:val="0"/>
      <w:autoSpaceDN w:val="0"/>
      <w:adjustRightInd w:val="0"/>
      <w:spacing w:after="0" w:line="240" w:lineRule="auto"/>
    </w:pPr>
    <w:rPr>
      <w:rFonts w:ascii="Calibri" w:hAnsi="Calibri" w:cs="Calibri"/>
      <w:color w:val="000000"/>
      <w:sz w:val="24"/>
      <w:szCs w:val="24"/>
    </w:rPr>
  </w:style>
  <w:style w:type="paragraph" w:styleId="Prrafodelista">
    <w:name w:val="List Paragraph"/>
    <w:basedOn w:val="Normal"/>
    <w:uiPriority w:val="34"/>
    <w:qFormat/>
    <w:rsid w:val="00980C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350</Words>
  <Characters>1928</Characters>
  <Application>Microsoft Office Word</Application>
  <DocSecurity>0</DocSecurity>
  <Lines>16</Lines>
  <Paragraphs>4</Paragraphs>
  <ScaleCrop>false</ScaleCrop>
  <Company/>
  <LinksUpToDate>false</LinksUpToDate>
  <CharactersWithSpaces>2274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Urien Salterain, Karoline</dc:creator>
  <cp:keywords/>
  <dc:description/>
  <cp:lastModifiedBy>Urien Salterain, Karoline</cp:lastModifiedBy>
  <cp:revision>3</cp:revision>
  <dcterms:created xsi:type="dcterms:W3CDTF">2023-02-28T11:27:00Z</dcterms:created>
  <dcterms:modified xsi:type="dcterms:W3CDTF">2023-02-28T11:30:00Z</dcterms:modified>
</cp:coreProperties>
</file>